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600" w:lineRule="exact"/>
        <w:jc w:val="center"/>
        <w:rPr>
          <w:rFonts w:hint="eastAsia"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郑州市文化广电和旅游局</w:t>
      </w:r>
    </w:p>
    <w:p>
      <w:pPr>
        <w:spacing w:afterLines="100" w:line="600" w:lineRule="exact"/>
        <w:jc w:val="center"/>
        <w:rPr>
          <w:rFonts w:hint="eastAsia"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2021年规范性文件清理结果目录</w:t>
      </w:r>
    </w:p>
    <w:p>
      <w:pPr>
        <w:spacing w:line="560" w:lineRule="exact"/>
        <w:rPr>
          <w:rFonts w:hint="eastAsia" w:ascii="黑体" w:hAnsi="黑体" w:eastAsia="黑体" w:cs="黑体"/>
          <w:sz w:val="32"/>
          <w:szCs w:val="32"/>
        </w:rPr>
      </w:pPr>
      <w:r>
        <w:rPr>
          <w:rFonts w:hint="eastAsia" w:ascii="黑体" w:hAnsi="黑体" w:eastAsia="黑体" w:cs="黑体"/>
          <w:sz w:val="32"/>
          <w:szCs w:val="32"/>
        </w:rPr>
        <w:t>一、继续有效的规范性文件（1</w:t>
      </w:r>
      <w:r>
        <w:rPr>
          <w:rFonts w:hint="default" w:ascii="黑体" w:hAnsi="黑体" w:eastAsia="黑体" w:cs="黑体"/>
          <w:sz w:val="32"/>
          <w:szCs w:val="32"/>
        </w:rPr>
        <w:t>3</w:t>
      </w:r>
      <w:r>
        <w:rPr>
          <w:rFonts w:hint="eastAsia" w:ascii="黑体" w:hAnsi="黑体" w:eastAsia="黑体" w:cs="黑体"/>
          <w:sz w:val="32"/>
          <w:szCs w:val="32"/>
        </w:rPr>
        <w:t>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3722"/>
        <w:gridCol w:w="1951"/>
        <w:gridCol w:w="156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hint="eastAsia" w:ascii="黑体" w:hAnsi="黑体" w:eastAsia="黑体" w:cs="黑体"/>
                <w:bCs/>
                <w:kern w:val="0"/>
                <w:sz w:val="30"/>
                <w:szCs w:val="30"/>
              </w:rPr>
            </w:pPr>
            <w:r>
              <w:rPr>
                <w:rFonts w:hint="eastAsia" w:ascii="黑体" w:hAnsi="黑体" w:eastAsia="黑体" w:cs="黑体"/>
                <w:bCs/>
                <w:color w:val="000000"/>
                <w:kern w:val="0"/>
                <w:sz w:val="30"/>
                <w:szCs w:val="30"/>
              </w:rPr>
              <w:t>序号</w:t>
            </w:r>
          </w:p>
        </w:tc>
        <w:tc>
          <w:tcPr>
            <w:tcW w:w="3722" w:type="dxa"/>
            <w:vAlign w:val="center"/>
          </w:tcPr>
          <w:p>
            <w:pPr>
              <w:widowControl/>
              <w:spacing w:line="560" w:lineRule="exact"/>
              <w:jc w:val="center"/>
              <w:textAlignment w:val="center"/>
              <w:rPr>
                <w:rFonts w:hint="eastAsia" w:ascii="黑体" w:hAnsi="黑体" w:eastAsia="黑体" w:cs="黑体"/>
                <w:bCs/>
                <w:kern w:val="0"/>
                <w:sz w:val="30"/>
                <w:szCs w:val="30"/>
              </w:rPr>
            </w:pPr>
            <w:r>
              <w:rPr>
                <w:rFonts w:hint="eastAsia" w:ascii="黑体" w:hAnsi="黑体" w:eastAsia="黑体" w:cs="黑体"/>
                <w:bCs/>
                <w:color w:val="000000"/>
                <w:kern w:val="0"/>
                <w:sz w:val="30"/>
                <w:szCs w:val="30"/>
              </w:rPr>
              <w:t>文件名称</w:t>
            </w:r>
          </w:p>
        </w:tc>
        <w:tc>
          <w:tcPr>
            <w:tcW w:w="1951" w:type="dxa"/>
            <w:vAlign w:val="center"/>
          </w:tcPr>
          <w:p>
            <w:pPr>
              <w:widowControl/>
              <w:spacing w:line="560" w:lineRule="exact"/>
              <w:jc w:val="center"/>
              <w:textAlignment w:val="center"/>
              <w:rPr>
                <w:rFonts w:hint="eastAsia" w:ascii="黑体" w:hAnsi="黑体" w:eastAsia="黑体" w:cs="黑体"/>
                <w:bCs/>
                <w:kern w:val="0"/>
                <w:sz w:val="30"/>
                <w:szCs w:val="30"/>
              </w:rPr>
            </w:pPr>
            <w:r>
              <w:rPr>
                <w:rFonts w:hint="eastAsia" w:ascii="黑体" w:hAnsi="黑体" w:eastAsia="黑体" w:cs="黑体"/>
                <w:bCs/>
                <w:color w:val="000000"/>
                <w:kern w:val="0"/>
                <w:sz w:val="30"/>
                <w:szCs w:val="30"/>
              </w:rPr>
              <w:t>文号</w:t>
            </w:r>
          </w:p>
        </w:tc>
        <w:tc>
          <w:tcPr>
            <w:tcW w:w="1560" w:type="dxa"/>
            <w:vAlign w:val="center"/>
          </w:tcPr>
          <w:p>
            <w:pPr>
              <w:widowControl/>
              <w:spacing w:line="560" w:lineRule="exact"/>
              <w:jc w:val="center"/>
              <w:textAlignment w:val="center"/>
              <w:rPr>
                <w:rFonts w:hint="eastAsia" w:ascii="黑体" w:hAnsi="黑体" w:eastAsia="黑体" w:cs="黑体"/>
                <w:bCs/>
                <w:kern w:val="0"/>
                <w:sz w:val="30"/>
                <w:szCs w:val="30"/>
              </w:rPr>
            </w:pPr>
            <w:r>
              <w:rPr>
                <w:rFonts w:hint="eastAsia" w:ascii="黑体" w:hAnsi="黑体" w:eastAsia="黑体" w:cs="黑体"/>
                <w:bCs/>
                <w:color w:val="000000"/>
                <w:kern w:val="0"/>
                <w:sz w:val="30"/>
                <w:szCs w:val="30"/>
              </w:rPr>
              <w:t>发布机构</w:t>
            </w:r>
          </w:p>
        </w:tc>
        <w:tc>
          <w:tcPr>
            <w:tcW w:w="1455" w:type="dxa"/>
            <w:vAlign w:val="center"/>
          </w:tcPr>
          <w:p>
            <w:pPr>
              <w:widowControl/>
              <w:spacing w:line="560" w:lineRule="exact"/>
              <w:jc w:val="center"/>
              <w:textAlignment w:val="center"/>
              <w:rPr>
                <w:rFonts w:hint="eastAsia" w:ascii="黑体" w:hAnsi="黑体" w:eastAsia="黑体" w:cs="黑体"/>
                <w:bCs/>
                <w:kern w:val="0"/>
                <w:sz w:val="30"/>
                <w:szCs w:val="30"/>
              </w:rPr>
            </w:pPr>
            <w:r>
              <w:rPr>
                <w:rFonts w:hint="eastAsia" w:ascii="黑体" w:hAnsi="黑体" w:eastAsia="黑体" w:cs="黑体"/>
                <w:bCs/>
                <w:color w:val="000000"/>
                <w:kern w:val="0"/>
                <w:sz w:val="30"/>
                <w:szCs w:val="30"/>
              </w:rPr>
              <w:t>印发日期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中共郑州市委宣传</w:t>
            </w:r>
            <w:bookmarkStart w:id="0" w:name="_GoBack"/>
            <w:bookmarkEnd w:id="0"/>
            <w:r>
              <w:rPr>
                <w:rFonts w:hint="eastAsia" w:ascii="仿宋_GB2312" w:hAnsi="仿宋_GB2312" w:eastAsia="仿宋_GB2312" w:cs="仿宋_GB2312"/>
                <w:color w:val="000000"/>
                <w:kern w:val="0"/>
                <w:sz w:val="24"/>
                <w:szCs w:val="24"/>
              </w:rPr>
              <w:t>部 郑州市文化广电和旅游局 郑州市文物局关于建立健全文化市场综合行政执法工作机制的通知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郑文广旅〔2021〕135号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2021-11-18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关于印发《郑州市A级景区村庄评定标准》（试行）的通知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郑文广旅〔2021〕95号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2021-07-05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郑州市文化广电和旅游局关于印发《郑州市非物质文化遗产保护办法》行政处罚自由裁量权的通知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郑文广旅通〔2021〕47号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2021-06-17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关于印发《郑州市乡村旅游民宿高质量发展实施意见》的通知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郑文广旅〔2021〕5号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2021-01-15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中共郑州市委宣传部  郑州市财政局 郑州市文化广电和旅游局关于印发《关于促进小剧场演艺发展的意见（暂行）》的通知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郑文广旅〔2020〕127号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中共郑州市委宣传部  郑州市财政局  郑州市文化广电和旅游局关于推进乡村旅游</w:t>
            </w:r>
          </w:p>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高质量发展的实施意见</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郑文广旅〔2020〕128号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ind w:right="-130" w:rightChars="-62"/>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中共郑州市委宣传部  郑州市财政局  郑州市文化广电和旅游局关于印发《关于进一步激发文化和旅游消费潜力创建国家文化和旅游消费示范城市实施意见》的通知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郑文广旅〔2020〕129号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hint="default" w:ascii="仿宋_GB2312" w:hAnsi="仿宋_GB2312" w:eastAsia="仿宋_GB2312" w:cs="仿宋_GB2312"/>
                <w:color w:val="000000"/>
                <w:kern w:val="0"/>
                <w:sz w:val="24"/>
                <w:szCs w:val="24"/>
              </w:rPr>
            </w:pPr>
            <w:r>
              <w:rPr>
                <w:rFonts w:hint="default" w:ascii="仿宋_GB2312" w:hAnsi="仿宋_GB2312" w:eastAsia="仿宋_GB2312" w:cs="仿宋_GB2312"/>
                <w:color w:val="000000"/>
                <w:kern w:val="0"/>
                <w:sz w:val="24"/>
                <w:szCs w:val="24"/>
              </w:rPr>
              <w:t>8</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郑州市文化广电和旅游局关于印发规范性文件清理结果目录的通知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郑文广旅通〔2020〕112号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hint="default" w:ascii="仿宋_GB2312" w:hAnsi="仿宋_GB2312" w:eastAsia="仿宋_GB2312" w:cs="仿宋_GB2312"/>
                <w:color w:val="000000"/>
                <w:kern w:val="0"/>
                <w:sz w:val="24"/>
                <w:szCs w:val="24"/>
              </w:rPr>
            </w:pPr>
            <w:r>
              <w:rPr>
                <w:rFonts w:hint="default" w:ascii="仿宋_GB2312" w:hAnsi="仿宋_GB2312" w:eastAsia="仿宋_GB2312" w:cs="仿宋_GB2312"/>
                <w:color w:val="000000"/>
                <w:kern w:val="0"/>
                <w:sz w:val="24"/>
                <w:szCs w:val="24"/>
              </w:rPr>
              <w:t>9</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中共郑州市委宣传部 郑州市文化广电和旅游局 郑州市财政局关于印发《郑州市非物质文化遗产传承发展工程实施方案》的通知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郑文广旅〔2020〕92号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hint="default" w:ascii="仿宋_GB2312" w:hAnsi="仿宋_GB2312" w:eastAsia="仿宋_GB2312" w:cs="仿宋_GB2312"/>
                <w:color w:val="000000"/>
                <w:kern w:val="0"/>
                <w:sz w:val="24"/>
                <w:szCs w:val="24"/>
              </w:rPr>
            </w:pPr>
            <w:r>
              <w:rPr>
                <w:rFonts w:hint="default" w:ascii="仿宋_GB2312" w:hAnsi="仿宋_GB2312" w:eastAsia="仿宋_GB2312" w:cs="仿宋_GB2312"/>
                <w:color w:val="000000"/>
                <w:kern w:val="0"/>
                <w:sz w:val="24"/>
                <w:szCs w:val="24"/>
              </w:rPr>
              <w:t>10</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郑州市文化广电和旅游局关于出境游旅行社和星级饭店实行属地管理的通知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郑文广旅通〔2020〕79号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default" w:ascii="仿宋_GB2312" w:hAnsi="仿宋_GB2312" w:eastAsia="仿宋_GB2312" w:cs="仿宋_GB2312"/>
                <w:color w:val="000000"/>
                <w:kern w:val="0"/>
                <w:sz w:val="24"/>
                <w:szCs w:val="24"/>
              </w:rPr>
              <w:t>1</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郑州市文化广电和旅游局关于印发&lt;郑州市非物质文化遗产展示传习示范馆管理办法&gt;的通知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郑文广旅通〔2019〕74号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default" w:ascii="仿宋_GB2312" w:hAnsi="仿宋_GB2312" w:eastAsia="仿宋_GB2312" w:cs="仿宋_GB2312"/>
                <w:color w:val="000000"/>
                <w:kern w:val="0"/>
                <w:sz w:val="24"/>
                <w:szCs w:val="24"/>
              </w:rPr>
              <w:t>2</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郑州市旅游局郑州市财政局关于印发郑州市旅行社奖励暂行办法实施细则的通知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郑旅〔2018〕55号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2018-07-27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 w:type="dxa"/>
            <w:vAlign w:val="center"/>
          </w:tcPr>
          <w:p>
            <w:pPr>
              <w:widowControl/>
              <w:spacing w:line="560" w:lineRule="exact"/>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default" w:ascii="仿宋_GB2312" w:hAnsi="仿宋_GB2312" w:eastAsia="仿宋_GB2312" w:cs="仿宋_GB2312"/>
                <w:color w:val="000000"/>
                <w:kern w:val="0"/>
                <w:sz w:val="24"/>
                <w:szCs w:val="24"/>
              </w:rPr>
              <w:t>3</w:t>
            </w:r>
          </w:p>
        </w:tc>
        <w:tc>
          <w:tcPr>
            <w:tcW w:w="3722"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郑州市旅游局关于印发郑州市旅游信用记录和信用产品实施暂行办法的通知</w:t>
            </w:r>
          </w:p>
        </w:tc>
        <w:tc>
          <w:tcPr>
            <w:tcW w:w="1951"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郑旅〔2017〕2号</w:t>
            </w:r>
          </w:p>
        </w:tc>
        <w:tc>
          <w:tcPr>
            <w:tcW w:w="1560" w:type="dxa"/>
            <w:vAlign w:val="center"/>
          </w:tcPr>
          <w:p>
            <w:pPr>
              <w:widowControl/>
              <w:spacing w:line="56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郑州市旅游局</w:t>
            </w:r>
          </w:p>
        </w:tc>
        <w:tc>
          <w:tcPr>
            <w:tcW w:w="1455"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2017-01-10</w:t>
            </w:r>
          </w:p>
        </w:tc>
      </w:tr>
    </w:tbl>
    <w:p>
      <w:pPr>
        <w:spacing w:line="560" w:lineRule="exact"/>
        <w:rPr>
          <w:rFonts w:hint="eastAsia" w:ascii="黑体" w:hAnsi="黑体" w:eastAsia="黑体" w:cs="黑体"/>
          <w:sz w:val="32"/>
          <w:szCs w:val="32"/>
        </w:rPr>
      </w:pPr>
      <w:r>
        <w:rPr>
          <w:rFonts w:hint="eastAsia" w:ascii="黑体" w:hAnsi="黑体" w:eastAsia="黑体" w:cs="黑体"/>
          <w:sz w:val="32"/>
          <w:szCs w:val="32"/>
        </w:rPr>
        <w:t>二、宣布失效或废止的规范性文件（</w:t>
      </w:r>
      <w:r>
        <w:rPr>
          <w:rFonts w:hint="default" w:ascii="黑体" w:hAnsi="黑体" w:eastAsia="黑体" w:cs="黑体"/>
          <w:sz w:val="32"/>
          <w:szCs w:val="32"/>
        </w:rPr>
        <w:t>2</w:t>
      </w:r>
      <w:r>
        <w:rPr>
          <w:rFonts w:hint="eastAsia" w:ascii="黑体" w:hAnsi="黑体" w:eastAsia="黑体" w:cs="黑体"/>
          <w:sz w:val="32"/>
          <w:szCs w:val="32"/>
        </w:rPr>
        <w:t>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2436"/>
        <w:gridCol w:w="1344"/>
        <w:gridCol w:w="2250"/>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widowControl/>
              <w:spacing w:line="560" w:lineRule="exact"/>
              <w:jc w:val="center"/>
              <w:textAlignment w:val="center"/>
              <w:rPr>
                <w:rFonts w:hint="eastAsia" w:ascii="黑体" w:hAnsi="黑体" w:eastAsia="黑体" w:cs="黑体"/>
                <w:bCs/>
                <w:kern w:val="0"/>
                <w:sz w:val="30"/>
                <w:szCs w:val="30"/>
              </w:rPr>
            </w:pPr>
            <w:r>
              <w:rPr>
                <w:rFonts w:hint="eastAsia" w:ascii="黑体" w:hAnsi="黑体" w:eastAsia="黑体" w:cs="黑体"/>
                <w:bCs/>
                <w:color w:val="000000"/>
                <w:kern w:val="0"/>
                <w:sz w:val="30"/>
                <w:szCs w:val="30"/>
              </w:rPr>
              <w:t>序号</w:t>
            </w:r>
          </w:p>
        </w:tc>
        <w:tc>
          <w:tcPr>
            <w:tcW w:w="2436" w:type="dxa"/>
            <w:vAlign w:val="center"/>
          </w:tcPr>
          <w:p>
            <w:pPr>
              <w:widowControl/>
              <w:spacing w:line="560" w:lineRule="exact"/>
              <w:jc w:val="center"/>
              <w:textAlignment w:val="center"/>
              <w:rPr>
                <w:rFonts w:hint="eastAsia" w:ascii="黑体" w:hAnsi="黑体" w:eastAsia="黑体" w:cs="黑体"/>
                <w:bCs/>
                <w:kern w:val="0"/>
                <w:sz w:val="30"/>
                <w:szCs w:val="30"/>
              </w:rPr>
            </w:pPr>
            <w:r>
              <w:rPr>
                <w:rFonts w:hint="eastAsia" w:ascii="黑体" w:hAnsi="黑体" w:eastAsia="黑体" w:cs="黑体"/>
                <w:bCs/>
                <w:color w:val="000000"/>
                <w:kern w:val="0"/>
                <w:sz w:val="30"/>
                <w:szCs w:val="30"/>
              </w:rPr>
              <w:t>文件名称</w:t>
            </w:r>
          </w:p>
        </w:tc>
        <w:tc>
          <w:tcPr>
            <w:tcW w:w="1344" w:type="dxa"/>
            <w:vAlign w:val="center"/>
          </w:tcPr>
          <w:p>
            <w:pPr>
              <w:widowControl/>
              <w:spacing w:line="560" w:lineRule="exact"/>
              <w:jc w:val="center"/>
              <w:textAlignment w:val="center"/>
              <w:rPr>
                <w:rFonts w:hint="eastAsia" w:ascii="黑体" w:hAnsi="黑体" w:eastAsia="黑体" w:cs="黑体"/>
                <w:bCs/>
                <w:kern w:val="0"/>
                <w:sz w:val="30"/>
                <w:szCs w:val="30"/>
              </w:rPr>
            </w:pPr>
            <w:r>
              <w:rPr>
                <w:rFonts w:hint="eastAsia" w:ascii="黑体" w:hAnsi="黑体" w:eastAsia="黑体" w:cs="黑体"/>
                <w:bCs/>
                <w:color w:val="000000"/>
                <w:kern w:val="0"/>
                <w:sz w:val="30"/>
                <w:szCs w:val="30"/>
              </w:rPr>
              <w:t>文号</w:t>
            </w:r>
          </w:p>
        </w:tc>
        <w:tc>
          <w:tcPr>
            <w:tcW w:w="2250" w:type="dxa"/>
            <w:vAlign w:val="center"/>
          </w:tcPr>
          <w:p>
            <w:pPr>
              <w:widowControl/>
              <w:spacing w:line="560" w:lineRule="exact"/>
              <w:jc w:val="center"/>
              <w:textAlignment w:val="center"/>
              <w:rPr>
                <w:rFonts w:hint="eastAsia" w:ascii="黑体" w:hAnsi="黑体" w:eastAsia="黑体" w:cs="黑体"/>
                <w:bCs/>
                <w:kern w:val="0"/>
                <w:sz w:val="30"/>
                <w:szCs w:val="30"/>
              </w:rPr>
            </w:pPr>
            <w:r>
              <w:rPr>
                <w:rFonts w:hint="eastAsia" w:ascii="黑体" w:hAnsi="黑体" w:eastAsia="黑体" w:cs="黑体"/>
                <w:bCs/>
                <w:color w:val="000000"/>
                <w:kern w:val="0"/>
                <w:sz w:val="30"/>
                <w:szCs w:val="30"/>
              </w:rPr>
              <w:t>发布机构</w:t>
            </w:r>
          </w:p>
        </w:tc>
        <w:tc>
          <w:tcPr>
            <w:tcW w:w="1520" w:type="dxa"/>
            <w:vAlign w:val="center"/>
          </w:tcPr>
          <w:p>
            <w:pPr>
              <w:widowControl/>
              <w:spacing w:line="560" w:lineRule="exact"/>
              <w:jc w:val="center"/>
              <w:textAlignment w:val="center"/>
              <w:rPr>
                <w:rFonts w:hint="eastAsia" w:ascii="黑体" w:hAnsi="黑体" w:eastAsia="黑体" w:cs="黑体"/>
                <w:bCs/>
                <w:kern w:val="0"/>
                <w:sz w:val="30"/>
                <w:szCs w:val="30"/>
              </w:rPr>
            </w:pPr>
            <w:r>
              <w:rPr>
                <w:rFonts w:hint="eastAsia" w:ascii="黑体" w:hAnsi="黑体" w:eastAsia="黑体" w:cs="黑体"/>
                <w:bCs/>
                <w:color w:val="000000"/>
                <w:kern w:val="0"/>
                <w:sz w:val="30"/>
                <w:szCs w:val="30"/>
              </w:rPr>
              <w:t>印发日期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436" w:type="dxa"/>
            <w:vAlign w:val="center"/>
          </w:tcPr>
          <w:p>
            <w:pPr>
              <w:widowControl/>
              <w:spacing w:line="56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关于印发郑州市A级景区生活垃圾分类工作实施方案的通知</w:t>
            </w:r>
          </w:p>
        </w:tc>
        <w:tc>
          <w:tcPr>
            <w:tcW w:w="1344" w:type="dxa"/>
            <w:vAlign w:val="center"/>
          </w:tcPr>
          <w:p>
            <w:pPr>
              <w:widowControl/>
              <w:spacing w:line="56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郑文广旅通〔2019〕46号</w:t>
            </w:r>
          </w:p>
        </w:tc>
        <w:tc>
          <w:tcPr>
            <w:tcW w:w="2250" w:type="dxa"/>
            <w:vAlign w:val="center"/>
          </w:tcPr>
          <w:p>
            <w:pPr>
              <w:widowControl/>
              <w:spacing w:line="56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520" w:type="dxa"/>
            <w:vAlign w:val="center"/>
          </w:tcPr>
          <w:p>
            <w:pPr>
              <w:widowControl/>
              <w:spacing w:line="56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2019-07-19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widowControl/>
              <w:spacing w:line="5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436" w:type="dxa"/>
            <w:vAlign w:val="center"/>
          </w:tcPr>
          <w:p>
            <w:pPr>
              <w:widowControl/>
              <w:spacing w:line="56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郑州市文化广电和旅游局关于部分景区开展“信易游”优惠措施的通知</w:t>
            </w:r>
          </w:p>
        </w:tc>
        <w:tc>
          <w:tcPr>
            <w:tcW w:w="1344" w:type="dxa"/>
            <w:vAlign w:val="center"/>
          </w:tcPr>
          <w:p>
            <w:pPr>
              <w:widowControl/>
              <w:spacing w:line="56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郑文广旅通〔2019〕37号</w:t>
            </w:r>
          </w:p>
        </w:tc>
        <w:tc>
          <w:tcPr>
            <w:tcW w:w="2250" w:type="dxa"/>
            <w:vAlign w:val="center"/>
          </w:tcPr>
          <w:p>
            <w:pPr>
              <w:widowControl/>
              <w:spacing w:line="56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郑州市文化广电和旅游局</w:t>
            </w:r>
          </w:p>
        </w:tc>
        <w:tc>
          <w:tcPr>
            <w:tcW w:w="1520" w:type="dxa"/>
            <w:vAlign w:val="center"/>
          </w:tcPr>
          <w:p>
            <w:pPr>
              <w:widowControl/>
              <w:spacing w:line="56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2019-06-10</w:t>
            </w:r>
          </w:p>
        </w:tc>
      </w:tr>
    </w:tbl>
    <w:p>
      <w:pPr>
        <w:spacing w:line="560" w:lineRule="exact"/>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tabs>
          <w:tab w:val="left" w:pos="709"/>
          <w:tab w:val="left" w:pos="7655"/>
          <w:tab w:val="left" w:pos="7938"/>
        </w:tabs>
        <w:spacing w:line="560" w:lineRule="exact"/>
        <w:ind w:firstLine="5120" w:firstLineChars="1600"/>
        <w:rPr>
          <w:rFonts w:ascii="仿宋_GB2312" w:hAnsi="仿宋" w:eastAsia="仿宋_GB2312" w:cs="仿宋"/>
          <w:sz w:val="32"/>
          <w:szCs w:val="32"/>
        </w:rPr>
      </w:pPr>
    </w:p>
    <w:p>
      <w:pPr>
        <w:rPr>
          <w:rFonts w:ascii="仿宋" w:hAnsi="仿宋" w:eastAsia="仿宋"/>
          <w:b/>
          <w:sz w:val="24"/>
        </w:rPr>
      </w:pPr>
    </w:p>
    <w:p>
      <w:pPr>
        <w:pStyle w:val="11"/>
        <w:tabs>
          <w:tab w:val="left" w:pos="7230"/>
          <w:tab w:val="left" w:pos="7513"/>
          <w:tab w:val="left" w:pos="7655"/>
          <w:tab w:val="left" w:pos="7797"/>
        </w:tabs>
        <w:spacing w:line="560" w:lineRule="exact"/>
        <w:ind w:firstLine="420" w:firstLineChars="200"/>
        <w:jc w:val="left"/>
        <w:rPr>
          <w:color w:val="000000"/>
        </w:rPr>
      </w:pPr>
      <w: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480695</wp:posOffset>
                </wp:positionV>
                <wp:extent cx="5615940" cy="635"/>
                <wp:effectExtent l="0" t="0" r="0" b="0"/>
                <wp:wrapNone/>
                <wp:docPr id="1" name="直接连接符 2"/>
                <wp:cNvGraphicFramePr/>
                <a:graphic xmlns:a="http://schemas.openxmlformats.org/drawingml/2006/main">
                  <a:graphicData uri="http://schemas.microsoft.com/office/word/2010/wordprocessingShape">
                    <wps:wsp>
                      <wps:cNvSpPr/>
                      <wps:spPr>
                        <a:xfrm>
                          <a:off x="0" y="0"/>
                          <a:ext cx="5615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3pt;margin-top:37.85pt;height:0.05pt;width:442.2pt;z-index:251660288;mso-width-relative:page;mso-height-relative:page;" filled="f" stroked="t" coordsize="21600,21600" o:gfxdata="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VjFlq9YAAAAHAQAADwAAAAAAAAABACAAAAA4AAAAZHJzL2Rvd25yZXYueG1sUEsBAhQAFAAA&#10;AAgAh07iQA+t8d7bAQAAmAMAAA4AAAAAAAAAAQAgAAAAOwEAAGRycy9lMm9Eb2MueG1sUEsFBgAA&#10;AAAGAAYAWQEAAI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-2540</wp:posOffset>
                </wp:positionV>
                <wp:extent cx="5615940" cy="2540"/>
                <wp:effectExtent l="0" t="0" r="0" b="0"/>
                <wp:wrapNone/>
                <wp:docPr id="2" name="直接连接符 1"/>
                <wp:cNvGraphicFramePr/>
                <a:graphic xmlns:a="http://schemas.openxmlformats.org/drawingml/2006/main">
                  <a:graphicData uri="http://schemas.microsoft.com/office/word/2010/wordprocessingShape">
                    <wps:wsp>
                      <wps:cNvSpPr/>
                      <wps:spPr>
                        <a:xfrm>
                          <a:off x="0" y="0"/>
                          <a:ext cx="561594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margin-left:3pt;margin-top:-0.2pt;height:0.2pt;width:442.2pt;z-index:251661312;mso-width-relative:page;mso-height-relative:page;" filled="f" stroked="t" coordsize="21600,21600" o:gfxdata="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O&#10;66K10wAAAAQBAAAPAAAAAAAAAAEAIAAAADgAAABkcnMvZG93bnJldi54bWxQSwECFAAUAAAACACH&#10;TuJAjDFgCtoBAACZAwAADgAAAAAAAAABACAAAAA4AQAAZHJzL2Uyb0RvYy54bWxQSwUGAAAAAAYA&#10;BgBZAQAAhAU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郑州市文化广电和旅游局办公室         </w:t>
      </w:r>
      <w:r>
        <w:rPr>
          <w:rFonts w:ascii="仿宋_GB2312" w:eastAsia="仿宋_GB2312"/>
          <w:color w:val="000000"/>
          <w:sz w:val="28"/>
          <w:szCs w:val="28"/>
        </w:rPr>
        <w:t xml:space="preserve"> </w:t>
      </w:r>
      <w:r>
        <w:rPr>
          <w:rFonts w:hint="eastAsia" w:ascii="仿宋_GB2312" w:eastAsia="仿宋_GB2312"/>
          <w:color w:val="000000"/>
          <w:sz w:val="28"/>
          <w:szCs w:val="28"/>
        </w:rPr>
        <w:t>2021年12月10日印发</w:t>
      </w:r>
    </w:p>
    <w:sectPr>
      <w:pgSz w:w="11906" w:h="16838"/>
      <w:pgMar w:top="2098" w:right="1418" w:bottom="1871" w:left="1474" w:header="851" w:footer="1304"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6"/>
  <w:bordersDoNotSurroundHeader w:val="1"/>
  <w:bordersDoNotSurroundFooter w:val="1"/>
  <w:documentProtection w:enforcement="0"/>
  <w:defaultTabStop w:val="420"/>
  <w:evenAndOddHeaders w:val="1"/>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8E"/>
    <w:rsid w:val="00087D34"/>
    <w:rsid w:val="000915B1"/>
    <w:rsid w:val="000C3076"/>
    <w:rsid w:val="00154EC8"/>
    <w:rsid w:val="00155485"/>
    <w:rsid w:val="00162D68"/>
    <w:rsid w:val="0016518E"/>
    <w:rsid w:val="001E133E"/>
    <w:rsid w:val="00290EFC"/>
    <w:rsid w:val="002F0D68"/>
    <w:rsid w:val="0032676F"/>
    <w:rsid w:val="00346AC1"/>
    <w:rsid w:val="0036300D"/>
    <w:rsid w:val="004200AE"/>
    <w:rsid w:val="00443595"/>
    <w:rsid w:val="004F55FA"/>
    <w:rsid w:val="00503791"/>
    <w:rsid w:val="005A65F6"/>
    <w:rsid w:val="005B32F4"/>
    <w:rsid w:val="005D27A2"/>
    <w:rsid w:val="0067200F"/>
    <w:rsid w:val="006F4B3A"/>
    <w:rsid w:val="00717513"/>
    <w:rsid w:val="007E765E"/>
    <w:rsid w:val="0084761F"/>
    <w:rsid w:val="008968A0"/>
    <w:rsid w:val="00931327"/>
    <w:rsid w:val="00932C03"/>
    <w:rsid w:val="00976279"/>
    <w:rsid w:val="009831A7"/>
    <w:rsid w:val="009F350D"/>
    <w:rsid w:val="00A77531"/>
    <w:rsid w:val="00A9678E"/>
    <w:rsid w:val="00AA1547"/>
    <w:rsid w:val="00AF5C9E"/>
    <w:rsid w:val="00B63383"/>
    <w:rsid w:val="00B92954"/>
    <w:rsid w:val="00BF6496"/>
    <w:rsid w:val="00C40D0D"/>
    <w:rsid w:val="00CC084F"/>
    <w:rsid w:val="00CC36F0"/>
    <w:rsid w:val="00CC6CB9"/>
    <w:rsid w:val="00CD1D81"/>
    <w:rsid w:val="00DB6942"/>
    <w:rsid w:val="00DC2D4D"/>
    <w:rsid w:val="00EE1FE7"/>
    <w:rsid w:val="00F84A2D"/>
    <w:rsid w:val="00FA6D08"/>
    <w:rsid w:val="7EBA396A"/>
    <w:rsid w:val="E72F4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0"/>
    <w:pPr>
      <w:keepNext/>
      <w:keepLines/>
      <w:spacing w:line="576" w:lineRule="auto"/>
      <w:outlineLvl w:val="0"/>
    </w:pPr>
    <w:rPr>
      <w:rFonts w:asciiTheme="minorHAnsi" w:hAnsiTheme="minorHAnsi" w:eastAsiaTheme="minorEastAsia" w:cstheme="minorBidi"/>
      <w:b/>
      <w:kern w:val="44"/>
      <w:sz w:val="44"/>
      <w:szCs w:val="2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szCs w:val="24"/>
    </w:rPr>
  </w:style>
  <w:style w:type="table" w:styleId="7">
    <w:name w:val="Table Grid"/>
    <w:basedOn w:val="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标题 1 Char"/>
    <w:basedOn w:val="8"/>
    <w:link w:val="2"/>
    <w:qFormat/>
    <w:uiPriority w:val="0"/>
    <w:rPr>
      <w:b/>
      <w:kern w:val="44"/>
      <w:sz w:val="44"/>
      <w:szCs w:val="24"/>
    </w:rPr>
  </w:style>
  <w:style w:type="paragraph" w:customStyle="1" w:styleId="11">
    <w:name w:val="p0"/>
    <w:basedOn w:val="1"/>
    <w:qFormat/>
    <w:uiPriority w:val="0"/>
    <w:pPr>
      <w:widowControl/>
    </w:pPr>
    <w:rPr>
      <w:kern w:val="0"/>
      <w:szCs w:val="21"/>
    </w:rPr>
  </w:style>
  <w:style w:type="character" w:customStyle="1" w:styleId="12">
    <w:name w:val="页脚 Char"/>
    <w:basedOn w:val="8"/>
    <w:link w:val="3"/>
    <w:qFormat/>
    <w:uiPriority w:val="99"/>
    <w:rPr>
      <w:rFonts w:ascii="Times New Roman" w:hAnsi="Times New Roman" w:eastAsia="宋体" w:cs="Times New Roman"/>
      <w:sz w:val="18"/>
      <w:szCs w:val="20"/>
    </w:rPr>
  </w:style>
  <w:style w:type="character" w:customStyle="1" w:styleId="13">
    <w:name w:val="页眉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252</Words>
  <Characters>1441</Characters>
  <Lines>12</Lines>
  <Paragraphs>3</Paragraphs>
  <TotalTime>73</TotalTime>
  <ScaleCrop>false</ScaleCrop>
  <LinksUpToDate>false</LinksUpToDate>
  <CharactersWithSpaces>1690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2021-12-13T16:49:00Z</dcterms:created>
  <dc:creator>ln</dc:creator>
  <cp:lastModifiedBy>greatwall</cp:lastModifiedBy>
  <cp:lastPrinted>2021-12-13T16:55:00Z</cp:lastPrinted>
  <dcterms:modified xsi:type="dcterms:W3CDTF">2023-09-07T15:16:41Z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